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Times New Roman" w:hAnsi="Times New Roman" w:eastAsia="黑体" w:cs="Times New Roman"/>
          <w:color w:val="000000"/>
          <w:spacing w:val="0"/>
          <w:kern w:val="0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0"/>
          <w:kern w:val="0"/>
          <w:szCs w:val="32"/>
        </w:rPr>
        <w:t>附件</w:t>
      </w:r>
      <w:r>
        <w:rPr>
          <w:rFonts w:hint="eastAsia" w:eastAsia="黑体" w:cs="Times New Roman"/>
          <w:color w:val="000000"/>
          <w:spacing w:val="0"/>
          <w:kern w:val="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</w:pPr>
      <w:r>
        <w:rPr>
          <w:rFonts w:hint="eastAsia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百色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市技术创新中心</w:t>
      </w:r>
      <w:r>
        <w:rPr>
          <w:rFonts w:hint="eastAsia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建设</w:t>
      </w:r>
      <w:r>
        <w:rPr>
          <w:rFonts w:hint="eastAsia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评审评分表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申请认定百色市技术创新中心名称：</w:t>
      </w:r>
      <w:r>
        <w:rPr>
          <w:rFonts w:hint="eastAsia" w:ascii="黑体" w:hAnsi="黑体" w:eastAsia="黑体" w:cs="黑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89"/>
        <w:gridCol w:w="4647"/>
        <w:gridCol w:w="1373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744" w:type="dxa"/>
            <w:gridSpan w:val="5"/>
            <w:tcBorders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一、条件符合情况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23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指标</w:t>
            </w:r>
          </w:p>
        </w:tc>
        <w:tc>
          <w:tcPr>
            <w:tcW w:w="464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评分细则</w:t>
            </w:r>
          </w:p>
        </w:tc>
        <w:tc>
          <w:tcPr>
            <w:tcW w:w="13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黑体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实际情况</w:t>
            </w:r>
          </w:p>
        </w:tc>
        <w:tc>
          <w:tcPr>
            <w:tcW w:w="801" w:type="dxa"/>
            <w:tcBorders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优势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牵头建设单位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为企业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营业收入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分×（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营业收入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000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）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2000万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  <w:t>元的，得10分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1000万元不得分。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34" w:type="dxa"/>
            <w:vMerge w:val="continue"/>
            <w:tcBorders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研发经费投入额度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（年投入研发经费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）或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研发投入比例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研发投入比例大于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%或研发经费大于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0万元的，得10分；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按得分较高的算法计分。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没有研发投入不得分。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34" w:type="dxa"/>
            <w:vMerge w:val="continue"/>
            <w:tcBorders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牵头建设单位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为高等学校、科研院所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近三年来累计完成的对外产学研合作项目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数：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（实际项目数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/3项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3项以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上得10分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登记技术合同的技术交易额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（实际技术合同交易额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）。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60万元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以上的，得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；低于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30万元不得分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分）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科研场地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科研用房面积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分×（实际面积/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00平方米）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300平方米的，得10分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；小于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0平方米不得分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仪器设备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仪器、设备原值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分×（原值/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万元）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大于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300万元的，得10分；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小于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0万元不得分。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人才队伍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科研人员数量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10人以上的，得10分；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少于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人不得分。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管理制度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成立理事会、学术委员会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；没有成立的，不得分。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管理制度健全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的，得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；没有相关制度的，不得分。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产出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  <w:t>分）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关键技术研发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研发成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果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论文和专著、自主研发的新产品原型、自主开发的新技术、发明专利、实用新型专利、外观设计专利、基础软件、应用软件、其他</w:t>
            </w:r>
            <w:r>
              <w:rPr>
                <w:rFonts w:hint="eastAsia" w:eastAsia="仿宋_GB2312" w:cs="Times New Roman"/>
                <w:color w:val="auto"/>
                <w:spacing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5分×数量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20分的，按20分计。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承担市级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以上项目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科技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6分×国家级个数+3分×自治区级个数+1分×市级个数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20分的，按20分计。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943" w:type="dxa"/>
            <w:gridSpan w:val="4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tbl>
      <w:tblPr>
        <w:tblStyle w:val="7"/>
        <w:tblW w:w="8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89"/>
        <w:gridCol w:w="4632"/>
        <w:gridCol w:w="1407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744" w:type="dxa"/>
            <w:gridSpan w:val="5"/>
            <w:tcBorders>
              <w:top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  <w:b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二、加分项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FF0000"/>
                <w:spacing w:val="0"/>
                <w:sz w:val="24"/>
                <w:szCs w:val="24"/>
                <w:lang w:eastAsia="zh-CN"/>
              </w:rPr>
              <w:t>最高加分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0"/>
                <w:sz w:val="24"/>
                <w:szCs w:val="24"/>
                <w:lang w:eastAsia="zh-CN"/>
              </w:rPr>
              <w:t>30分，超出30分按30分计）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指标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评分细则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实际情况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pacing w:val="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eastAsia="zh-CN"/>
              </w:rPr>
              <w:t>加分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高水平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人才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分×院士数量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分×国家级人才数量</w:t>
            </w:r>
            <w:r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级人才（全职引进）数量+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级人才（柔性引进）数量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34" w:type="dxa"/>
            <w:vMerge w:val="continue"/>
            <w:tcBorders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科技奖励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10分×国家级个数+5分×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（部级）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个数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成果转化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成果转化收益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1分×（收入/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0万元）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黑体"/>
                <w:b/>
                <w:bCs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三、否定项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6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否定条件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实际情况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6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近五年内发生环保、安全、知识产权等方面的问题，受到各级行政执法机关行政处罚的，扣100分。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65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科研人员存在学术不端行为、不良科研信用及其他相关信用记录、违法违纪行为的，扣100分。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96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四、总得分</w:t>
            </w: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一+二-三，总得分低于60的、或条件分低于60的，不予认定）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五、专家意见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744" w:type="dxa"/>
            <w:gridSpan w:val="5"/>
            <w:tcBorders>
              <w:top w:val="single" w:color="000000" w:sz="4" w:space="0"/>
              <w:bottom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由百色市科技局委托，百色市技术创新中心考察专家组于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日，对申报组建单位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提交的申请材料进行审阅和现场考察。经充分讨论形成了一致意见：该申报单位评审总得分为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分。其中，条件符合情况得分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分，高水平加分得分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不符合认定条件情况：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基于以上情况，专家组一致认为符合（不符合）组建条件，同意（不同意）推荐筹建百色市技术创新中心。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专家签名  组长：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         组员：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年  月  日</w:t>
            </w:r>
          </w:p>
        </w:tc>
      </w:tr>
    </w:tbl>
    <w:p/>
    <w:sectPr>
      <w:footerReference r:id="rId3" w:type="default"/>
      <w:pgSz w:w="11906" w:h="16838"/>
      <w:pgMar w:top="1871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jNjNmM2NjFkYjhiYjZlMjgzYmNhMmE4N2Q5NGUifQ=="/>
  </w:docVars>
  <w:rsids>
    <w:rsidRoot w:val="F7D3958E"/>
    <w:rsid w:val="0A972B50"/>
    <w:rsid w:val="11335294"/>
    <w:rsid w:val="38AB0353"/>
    <w:rsid w:val="6D0C18D8"/>
    <w:rsid w:val="F7D39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ordWrap w:val="0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1101</Words>
  <Characters>1179</Characters>
  <Lines>0</Lines>
  <Paragraphs>0</Paragraphs>
  <TotalTime>83.3333333333333</TotalTime>
  <ScaleCrop>false</ScaleCrop>
  <LinksUpToDate>false</LinksUpToDate>
  <CharactersWithSpaces>1350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2022-08-22T15:45:00Z</dcterms:created>
  <dc:creator>gxxc</dc:creator>
  <cp:lastModifiedBy>八爷</cp:lastModifiedBy>
  <dcterms:modified xsi:type="dcterms:W3CDTF">2023-07-14T01:06:01Z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D5944CBD3A76402CA7760C11A11A441B</vt:lpwstr>
  </property>
</Properties>
</file>